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3119"/>
        <w:gridCol w:w="1701"/>
        <w:gridCol w:w="2976"/>
        <w:gridCol w:w="1175"/>
        <w:gridCol w:w="2019"/>
        <w:gridCol w:w="1688"/>
        <w:gridCol w:w="1688"/>
        <w:gridCol w:w="1550"/>
        <w:gridCol w:w="944"/>
        <w:gridCol w:w="12"/>
      </w:tblGrid>
      <w:tr w:rsidR="00952A7B" w:rsidRPr="00952A7B" w14:paraId="7EFD8DCC" w14:textId="77777777" w:rsidTr="005205FC">
        <w:trPr>
          <w:trHeight w:val="315"/>
        </w:trPr>
        <w:tc>
          <w:tcPr>
            <w:tcW w:w="18710" w:type="dxa"/>
            <w:gridSpan w:val="11"/>
            <w:shd w:val="clear" w:color="auto" w:fill="auto"/>
            <w:vAlign w:val="bottom"/>
            <w:hideMark/>
          </w:tcPr>
          <w:p w14:paraId="135A01A3"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MINISTERIO DE SALUD</w:t>
            </w:r>
          </w:p>
        </w:tc>
      </w:tr>
      <w:tr w:rsidR="00952A7B" w:rsidRPr="00952A7B" w14:paraId="09D9D86B" w14:textId="77777777" w:rsidTr="005205FC">
        <w:trPr>
          <w:trHeight w:val="315"/>
        </w:trPr>
        <w:tc>
          <w:tcPr>
            <w:tcW w:w="18710" w:type="dxa"/>
            <w:gridSpan w:val="11"/>
            <w:shd w:val="clear" w:color="auto" w:fill="auto"/>
            <w:vAlign w:val="bottom"/>
            <w:hideMark/>
          </w:tcPr>
          <w:p w14:paraId="6035C52A"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Misiones Oficiales Internacionales</w:t>
            </w:r>
          </w:p>
        </w:tc>
      </w:tr>
      <w:tr w:rsidR="00952A7B" w:rsidRPr="00952A7B" w14:paraId="70D56D6C" w14:textId="77777777" w:rsidTr="005205FC">
        <w:trPr>
          <w:trHeight w:val="315"/>
        </w:trPr>
        <w:tc>
          <w:tcPr>
            <w:tcW w:w="18710" w:type="dxa"/>
            <w:gridSpan w:val="11"/>
            <w:shd w:val="clear" w:color="auto" w:fill="auto"/>
            <w:vAlign w:val="bottom"/>
            <w:hideMark/>
          </w:tcPr>
          <w:p w14:paraId="05503387"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2025</w:t>
            </w:r>
          </w:p>
        </w:tc>
      </w:tr>
      <w:tr w:rsidR="00952A7B" w:rsidRPr="00952A7B" w14:paraId="46B75742" w14:textId="77777777" w:rsidTr="005205FC">
        <w:trPr>
          <w:trHeight w:val="315"/>
        </w:trPr>
        <w:tc>
          <w:tcPr>
            <w:tcW w:w="18710" w:type="dxa"/>
            <w:gridSpan w:val="11"/>
            <w:shd w:val="clear" w:color="auto" w:fill="auto"/>
            <w:vAlign w:val="bottom"/>
            <w:hideMark/>
          </w:tcPr>
          <w:p w14:paraId="46D3CEF5" w14:textId="380B0389"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Pr>
                <w:rFonts w:ascii="Arial" w:eastAsia="Times New Roman" w:hAnsi="Arial" w:cs="Arial"/>
                <w:b/>
                <w:bCs/>
                <w:color w:val="000000"/>
                <w:kern w:val="0"/>
                <w:lang w:eastAsia="es-PA"/>
                <w14:ligatures w14:val="none"/>
              </w:rPr>
              <w:t>ABRIL</w:t>
            </w:r>
          </w:p>
        </w:tc>
      </w:tr>
      <w:tr w:rsidR="005205FC" w:rsidRPr="00952A7B" w14:paraId="002785F9" w14:textId="77777777" w:rsidTr="00992A33">
        <w:trPr>
          <w:trHeight w:val="315"/>
        </w:trPr>
        <w:tc>
          <w:tcPr>
            <w:tcW w:w="1838" w:type="dxa"/>
            <w:shd w:val="clear" w:color="auto" w:fill="auto"/>
            <w:vAlign w:val="bottom"/>
            <w:hideMark/>
          </w:tcPr>
          <w:p w14:paraId="029B590B"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Nombre</w:t>
            </w:r>
          </w:p>
        </w:tc>
        <w:tc>
          <w:tcPr>
            <w:tcW w:w="3119" w:type="dxa"/>
            <w:shd w:val="clear" w:color="auto" w:fill="auto"/>
            <w:vAlign w:val="bottom"/>
            <w:hideMark/>
          </w:tcPr>
          <w:p w14:paraId="1CB3BB36"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Cargo</w:t>
            </w:r>
          </w:p>
        </w:tc>
        <w:tc>
          <w:tcPr>
            <w:tcW w:w="1701" w:type="dxa"/>
            <w:shd w:val="clear" w:color="auto" w:fill="auto"/>
            <w:vAlign w:val="center"/>
            <w:hideMark/>
          </w:tcPr>
          <w:p w14:paraId="3621D3A6"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Destino-País-Ciudad</w:t>
            </w:r>
          </w:p>
        </w:tc>
        <w:tc>
          <w:tcPr>
            <w:tcW w:w="2976" w:type="dxa"/>
            <w:shd w:val="clear" w:color="auto" w:fill="auto"/>
            <w:vAlign w:val="center"/>
            <w:hideMark/>
          </w:tcPr>
          <w:p w14:paraId="4AC1474B"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Participación</w:t>
            </w:r>
          </w:p>
        </w:tc>
        <w:tc>
          <w:tcPr>
            <w:tcW w:w="1175" w:type="dxa"/>
            <w:shd w:val="clear" w:color="auto" w:fill="auto"/>
            <w:vAlign w:val="center"/>
            <w:hideMark/>
          </w:tcPr>
          <w:p w14:paraId="73D8E6BA" w14:textId="4ED88C8D"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Pr>
                <w:rFonts w:ascii="Arial" w:eastAsia="Times New Roman" w:hAnsi="Arial" w:cs="Arial"/>
                <w:b/>
                <w:bCs/>
                <w:color w:val="000000"/>
                <w:kern w:val="0"/>
                <w:lang w:eastAsia="es-PA"/>
                <w14:ligatures w14:val="none"/>
              </w:rPr>
              <w:t>Salida</w:t>
            </w:r>
          </w:p>
        </w:tc>
        <w:tc>
          <w:tcPr>
            <w:tcW w:w="2019" w:type="dxa"/>
            <w:shd w:val="clear" w:color="auto" w:fill="auto"/>
            <w:vAlign w:val="center"/>
            <w:hideMark/>
          </w:tcPr>
          <w:p w14:paraId="63186FA5"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Regreso</w:t>
            </w:r>
          </w:p>
        </w:tc>
        <w:tc>
          <w:tcPr>
            <w:tcW w:w="1688" w:type="dxa"/>
            <w:shd w:val="clear" w:color="auto" w:fill="auto"/>
            <w:vAlign w:val="center"/>
            <w:hideMark/>
          </w:tcPr>
          <w:p w14:paraId="3B7FF35E"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 xml:space="preserve"> Pasaje Aéreo </w:t>
            </w:r>
          </w:p>
        </w:tc>
        <w:tc>
          <w:tcPr>
            <w:tcW w:w="1688" w:type="dxa"/>
            <w:shd w:val="clear" w:color="auto" w:fill="auto"/>
            <w:vAlign w:val="center"/>
            <w:hideMark/>
          </w:tcPr>
          <w:p w14:paraId="36A8429A" w14:textId="77777777"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 xml:space="preserve">  Viático  </w:t>
            </w:r>
          </w:p>
        </w:tc>
        <w:tc>
          <w:tcPr>
            <w:tcW w:w="1550" w:type="dxa"/>
            <w:shd w:val="clear" w:color="auto" w:fill="auto"/>
            <w:vAlign w:val="center"/>
            <w:hideMark/>
          </w:tcPr>
          <w:p w14:paraId="700FE589" w14:textId="61EF5D45" w:rsidR="00952A7B" w:rsidRPr="00952A7B" w:rsidRDefault="00952A7B" w:rsidP="00952A7B">
            <w:pPr>
              <w:spacing w:after="0" w:line="240" w:lineRule="auto"/>
              <w:jc w:val="center"/>
              <w:rPr>
                <w:rFonts w:ascii="Arial" w:eastAsia="Times New Roman" w:hAnsi="Arial" w:cs="Arial"/>
                <w:b/>
                <w:bCs/>
                <w:color w:val="000000"/>
                <w:kern w:val="0"/>
                <w:lang w:eastAsia="es-PA"/>
                <w14:ligatures w14:val="none"/>
              </w:rPr>
            </w:pPr>
            <w:r w:rsidRPr="00952A7B">
              <w:rPr>
                <w:rFonts w:ascii="Arial" w:eastAsia="Times New Roman" w:hAnsi="Arial" w:cs="Arial"/>
                <w:b/>
                <w:bCs/>
                <w:color w:val="000000"/>
                <w:kern w:val="0"/>
                <w:lang w:eastAsia="es-PA"/>
                <w14:ligatures w14:val="none"/>
              </w:rPr>
              <w:t>Inscripción</w:t>
            </w:r>
          </w:p>
        </w:tc>
        <w:tc>
          <w:tcPr>
            <w:tcW w:w="956" w:type="dxa"/>
            <w:gridSpan w:val="2"/>
            <w:shd w:val="clear" w:color="auto" w:fill="auto"/>
            <w:vAlign w:val="center"/>
            <w:hideMark/>
          </w:tcPr>
          <w:p w14:paraId="2CE59F9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Informe </w:t>
            </w:r>
          </w:p>
        </w:tc>
      </w:tr>
      <w:tr w:rsidR="005205FC" w:rsidRPr="00952A7B" w14:paraId="52918F02" w14:textId="77777777" w:rsidTr="00992A33">
        <w:trPr>
          <w:gridAfter w:val="1"/>
          <w:wAfter w:w="12" w:type="dxa"/>
          <w:trHeight w:val="2145"/>
        </w:trPr>
        <w:tc>
          <w:tcPr>
            <w:tcW w:w="1838" w:type="dxa"/>
            <w:shd w:val="clear" w:color="auto" w:fill="auto"/>
            <w:vAlign w:val="center"/>
            <w:hideMark/>
          </w:tcPr>
          <w:p w14:paraId="3F89881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 Reina Roa</w:t>
            </w:r>
          </w:p>
        </w:tc>
        <w:tc>
          <w:tcPr>
            <w:tcW w:w="3119" w:type="dxa"/>
            <w:shd w:val="clear" w:color="auto" w:fill="auto"/>
            <w:vAlign w:val="center"/>
            <w:hideMark/>
          </w:tcPr>
          <w:p w14:paraId="1A37977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Directora General de Salud Pública</w:t>
            </w:r>
          </w:p>
        </w:tc>
        <w:tc>
          <w:tcPr>
            <w:tcW w:w="1701" w:type="dxa"/>
            <w:shd w:val="clear" w:color="auto" w:fill="auto"/>
            <w:vAlign w:val="center"/>
            <w:hideMark/>
          </w:tcPr>
          <w:p w14:paraId="61BA0B9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Suiza, Ginebra </w:t>
            </w:r>
          </w:p>
        </w:tc>
        <w:tc>
          <w:tcPr>
            <w:tcW w:w="2976" w:type="dxa"/>
            <w:shd w:val="clear" w:color="auto" w:fill="auto"/>
            <w:vAlign w:val="center"/>
            <w:hideMark/>
          </w:tcPr>
          <w:p w14:paraId="395B808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Tercera Reunión de la Mesa elegida por la Décima Sesión de la Conferencia de las Partes (COP10) en el Convenio Marco de la OMS para el Control del Tabaco (CMCT de la OMS) y en la Tercera Reunión Conjunta de las Mesas elegidas por la COP10 y por la Tercera Sesión de la Reunión de las Partes (MOP3) en el Protocolo para la Eliminación del Comercio Ilícito de Productos de Tabaco.</w:t>
            </w:r>
          </w:p>
        </w:tc>
        <w:tc>
          <w:tcPr>
            <w:tcW w:w="1175" w:type="dxa"/>
            <w:shd w:val="clear" w:color="auto" w:fill="auto"/>
            <w:vAlign w:val="center"/>
            <w:hideMark/>
          </w:tcPr>
          <w:p w14:paraId="065E079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5 de abril</w:t>
            </w:r>
          </w:p>
        </w:tc>
        <w:tc>
          <w:tcPr>
            <w:tcW w:w="2019" w:type="dxa"/>
            <w:shd w:val="clear" w:color="auto" w:fill="auto"/>
            <w:vAlign w:val="center"/>
            <w:hideMark/>
          </w:tcPr>
          <w:p w14:paraId="605527A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12 de abril</w:t>
            </w:r>
          </w:p>
        </w:tc>
        <w:tc>
          <w:tcPr>
            <w:tcW w:w="1688" w:type="dxa"/>
            <w:shd w:val="clear" w:color="auto" w:fill="auto"/>
            <w:noWrap/>
            <w:vAlign w:val="center"/>
            <w:hideMark/>
          </w:tcPr>
          <w:p w14:paraId="3DE02E8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Secretariado de FCTC</w:t>
            </w:r>
          </w:p>
        </w:tc>
        <w:tc>
          <w:tcPr>
            <w:tcW w:w="1688" w:type="dxa"/>
            <w:shd w:val="clear" w:color="auto" w:fill="auto"/>
            <w:noWrap/>
            <w:vAlign w:val="center"/>
            <w:hideMark/>
          </w:tcPr>
          <w:p w14:paraId="5C65D59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Secretariado de FCTC</w:t>
            </w:r>
          </w:p>
        </w:tc>
        <w:tc>
          <w:tcPr>
            <w:tcW w:w="1550" w:type="dxa"/>
            <w:shd w:val="clear" w:color="auto" w:fill="auto"/>
            <w:noWrap/>
            <w:vAlign w:val="center"/>
            <w:hideMark/>
          </w:tcPr>
          <w:p w14:paraId="49C01F4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6A7CD8AF"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42529E79" w14:textId="77777777" w:rsidTr="00992A33">
        <w:trPr>
          <w:gridAfter w:val="1"/>
          <w:wAfter w:w="12" w:type="dxa"/>
          <w:trHeight w:val="1305"/>
        </w:trPr>
        <w:tc>
          <w:tcPr>
            <w:tcW w:w="1838" w:type="dxa"/>
            <w:shd w:val="clear" w:color="auto" w:fill="auto"/>
            <w:vAlign w:val="center"/>
            <w:hideMark/>
          </w:tcPr>
          <w:p w14:paraId="35282CF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 Carlos Montero</w:t>
            </w:r>
          </w:p>
        </w:tc>
        <w:tc>
          <w:tcPr>
            <w:tcW w:w="3119" w:type="dxa"/>
            <w:shd w:val="clear" w:color="auto" w:fill="auto"/>
            <w:vAlign w:val="center"/>
            <w:hideMark/>
          </w:tcPr>
          <w:p w14:paraId="61521FD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Jefe del Depto. de Medicina Transfusional y Servicios de Sangre</w:t>
            </w:r>
          </w:p>
        </w:tc>
        <w:tc>
          <w:tcPr>
            <w:tcW w:w="1701" w:type="dxa"/>
            <w:shd w:val="clear" w:color="auto" w:fill="auto"/>
            <w:vAlign w:val="center"/>
            <w:hideMark/>
          </w:tcPr>
          <w:p w14:paraId="269CCE6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Paraguay</w:t>
            </w:r>
          </w:p>
        </w:tc>
        <w:tc>
          <w:tcPr>
            <w:tcW w:w="2976" w:type="dxa"/>
            <w:shd w:val="clear" w:color="auto" w:fill="auto"/>
            <w:vAlign w:val="center"/>
            <w:hideMark/>
          </w:tcPr>
          <w:p w14:paraId="68A727F2" w14:textId="2EE9392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Participación</w:t>
            </w:r>
            <w:r w:rsidRPr="00952A7B">
              <w:rPr>
                <w:rFonts w:ascii="Arial" w:eastAsia="Times New Roman" w:hAnsi="Arial" w:cs="Arial"/>
                <w:color w:val="000000"/>
                <w:kern w:val="0"/>
                <w:lang w:eastAsia="es-PA"/>
                <w14:ligatures w14:val="none"/>
              </w:rPr>
              <w:t xml:space="preserve"> de la </w:t>
            </w:r>
            <w:r w:rsidRPr="00952A7B">
              <w:rPr>
                <w:rFonts w:ascii="Arial" w:eastAsia="Times New Roman" w:hAnsi="Arial" w:cs="Arial"/>
                <w:color w:val="000000"/>
                <w:kern w:val="0"/>
                <w:lang w:eastAsia="es-PA"/>
                <w14:ligatures w14:val="none"/>
              </w:rPr>
              <w:t>reunión</w:t>
            </w:r>
            <w:r w:rsidRPr="00952A7B">
              <w:rPr>
                <w:rFonts w:ascii="Arial" w:eastAsia="Times New Roman" w:hAnsi="Arial" w:cs="Arial"/>
                <w:color w:val="000000"/>
                <w:kern w:val="0"/>
                <w:lang w:eastAsia="es-PA"/>
                <w14:ligatures w14:val="none"/>
              </w:rPr>
              <w:t xml:space="preserve"> de </w:t>
            </w:r>
            <w:r w:rsidRPr="00952A7B">
              <w:rPr>
                <w:rFonts w:ascii="Arial" w:eastAsia="Times New Roman" w:hAnsi="Arial" w:cs="Arial"/>
                <w:color w:val="000000"/>
                <w:kern w:val="0"/>
                <w:lang w:eastAsia="es-PA"/>
                <w14:ligatures w14:val="none"/>
              </w:rPr>
              <w:t>sistema</w:t>
            </w:r>
            <w:r w:rsidRPr="00952A7B">
              <w:rPr>
                <w:rFonts w:ascii="Arial" w:eastAsia="Times New Roman" w:hAnsi="Arial" w:cs="Arial"/>
                <w:color w:val="000000"/>
                <w:kern w:val="0"/>
                <w:lang w:eastAsia="es-PA"/>
                <w14:ligatures w14:val="none"/>
              </w:rPr>
              <w:t xml:space="preserve"> de sangre</w:t>
            </w:r>
          </w:p>
        </w:tc>
        <w:tc>
          <w:tcPr>
            <w:tcW w:w="1175" w:type="dxa"/>
            <w:shd w:val="clear" w:color="auto" w:fill="auto"/>
            <w:vAlign w:val="center"/>
            <w:hideMark/>
          </w:tcPr>
          <w:p w14:paraId="6FB469A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20 de abril</w:t>
            </w:r>
          </w:p>
        </w:tc>
        <w:tc>
          <w:tcPr>
            <w:tcW w:w="2019" w:type="dxa"/>
            <w:shd w:val="clear" w:color="auto" w:fill="auto"/>
            <w:vAlign w:val="center"/>
            <w:hideMark/>
          </w:tcPr>
          <w:p w14:paraId="7745CD0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24 de abril</w:t>
            </w:r>
          </w:p>
        </w:tc>
        <w:tc>
          <w:tcPr>
            <w:tcW w:w="1688" w:type="dxa"/>
            <w:shd w:val="clear" w:color="000000" w:fill="FFFFFF"/>
            <w:vAlign w:val="center"/>
            <w:hideMark/>
          </w:tcPr>
          <w:p w14:paraId="4BD6BF7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Organización Panamericana de la Salud </w:t>
            </w:r>
          </w:p>
        </w:tc>
        <w:tc>
          <w:tcPr>
            <w:tcW w:w="1688" w:type="dxa"/>
            <w:shd w:val="clear" w:color="000000" w:fill="FFFFFF"/>
            <w:vAlign w:val="center"/>
            <w:hideMark/>
          </w:tcPr>
          <w:p w14:paraId="087CD85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Organización Panamericana de la Salud </w:t>
            </w:r>
          </w:p>
        </w:tc>
        <w:tc>
          <w:tcPr>
            <w:tcW w:w="1550" w:type="dxa"/>
            <w:shd w:val="clear" w:color="000000" w:fill="FFFFFF"/>
            <w:vAlign w:val="center"/>
            <w:hideMark/>
          </w:tcPr>
          <w:p w14:paraId="3883F80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39CE81B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6AC0ECCB" w14:textId="77777777" w:rsidTr="00992A33">
        <w:trPr>
          <w:gridAfter w:val="1"/>
          <w:wAfter w:w="12" w:type="dxa"/>
          <w:trHeight w:val="1035"/>
        </w:trPr>
        <w:tc>
          <w:tcPr>
            <w:tcW w:w="1838" w:type="dxa"/>
            <w:shd w:val="clear" w:color="auto" w:fill="auto"/>
            <w:vAlign w:val="center"/>
            <w:hideMark/>
          </w:tcPr>
          <w:p w14:paraId="769657C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Ing. Rodrigo Chang</w:t>
            </w:r>
          </w:p>
        </w:tc>
        <w:tc>
          <w:tcPr>
            <w:tcW w:w="3119" w:type="dxa"/>
            <w:shd w:val="clear" w:color="auto" w:fill="auto"/>
            <w:vAlign w:val="center"/>
            <w:hideMark/>
          </w:tcPr>
          <w:p w14:paraId="00B1721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Entomólogo</w:t>
            </w:r>
          </w:p>
        </w:tc>
        <w:tc>
          <w:tcPr>
            <w:tcW w:w="1701" w:type="dxa"/>
            <w:vMerge w:val="restart"/>
            <w:shd w:val="clear" w:color="auto" w:fill="auto"/>
            <w:vAlign w:val="center"/>
            <w:hideMark/>
          </w:tcPr>
          <w:p w14:paraId="327384B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Costa Rica, San José</w:t>
            </w:r>
          </w:p>
        </w:tc>
        <w:tc>
          <w:tcPr>
            <w:tcW w:w="2976" w:type="dxa"/>
            <w:vMerge w:val="restart"/>
            <w:shd w:val="clear" w:color="auto" w:fill="auto"/>
            <w:vAlign w:val="center"/>
            <w:hideMark/>
          </w:tcPr>
          <w:p w14:paraId="14B6896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Participar en el “Taller de entretenimiento subregional para el uso rociado residual intradomiciliario en zonas urbanas para el control de Aedes Aegypti (TIRS por sus siglas en inglés)”</w:t>
            </w:r>
          </w:p>
        </w:tc>
        <w:tc>
          <w:tcPr>
            <w:tcW w:w="1175" w:type="dxa"/>
            <w:vMerge w:val="restart"/>
            <w:shd w:val="clear" w:color="auto" w:fill="auto"/>
            <w:noWrap/>
            <w:vAlign w:val="center"/>
            <w:hideMark/>
          </w:tcPr>
          <w:p w14:paraId="39C28A4D" w14:textId="414E76B8"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7 de </w:t>
            </w:r>
            <w:r w:rsidRPr="00952A7B">
              <w:rPr>
                <w:rFonts w:ascii="Arial" w:eastAsia="Times New Roman" w:hAnsi="Arial" w:cs="Arial"/>
                <w:color w:val="000000"/>
                <w:kern w:val="0"/>
                <w:lang w:eastAsia="es-PA"/>
                <w14:ligatures w14:val="none"/>
              </w:rPr>
              <w:t>abril</w:t>
            </w:r>
          </w:p>
        </w:tc>
        <w:tc>
          <w:tcPr>
            <w:tcW w:w="2019" w:type="dxa"/>
            <w:vMerge w:val="restart"/>
            <w:shd w:val="clear" w:color="auto" w:fill="auto"/>
            <w:noWrap/>
            <w:vAlign w:val="center"/>
            <w:hideMark/>
          </w:tcPr>
          <w:p w14:paraId="7740858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11 de abril</w:t>
            </w:r>
          </w:p>
        </w:tc>
        <w:tc>
          <w:tcPr>
            <w:tcW w:w="1688" w:type="dxa"/>
            <w:vMerge w:val="restart"/>
            <w:shd w:val="clear" w:color="auto" w:fill="auto"/>
            <w:vAlign w:val="center"/>
            <w:hideMark/>
          </w:tcPr>
          <w:p w14:paraId="01503EA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cubierto por la Organización Panamericana de la Salud (OPS)</w:t>
            </w:r>
          </w:p>
        </w:tc>
        <w:tc>
          <w:tcPr>
            <w:tcW w:w="1688" w:type="dxa"/>
            <w:vMerge w:val="restart"/>
            <w:shd w:val="clear" w:color="auto" w:fill="auto"/>
            <w:vAlign w:val="center"/>
            <w:hideMark/>
          </w:tcPr>
          <w:p w14:paraId="7E804AA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cubierto por la Organización Panamericana de la Salud (OPS)</w:t>
            </w:r>
          </w:p>
        </w:tc>
        <w:tc>
          <w:tcPr>
            <w:tcW w:w="1550" w:type="dxa"/>
            <w:shd w:val="clear" w:color="auto" w:fill="auto"/>
            <w:noWrap/>
            <w:vAlign w:val="bottom"/>
            <w:hideMark/>
          </w:tcPr>
          <w:p w14:paraId="1ABC0B03"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vAlign w:val="center"/>
            <w:hideMark/>
          </w:tcPr>
          <w:p w14:paraId="3AFF2F2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19F0CE0E" w14:textId="77777777" w:rsidTr="00992A33">
        <w:trPr>
          <w:gridAfter w:val="1"/>
          <w:wAfter w:w="12" w:type="dxa"/>
          <w:trHeight w:val="855"/>
        </w:trPr>
        <w:tc>
          <w:tcPr>
            <w:tcW w:w="1838" w:type="dxa"/>
            <w:shd w:val="clear" w:color="auto" w:fill="auto"/>
            <w:vAlign w:val="center"/>
            <w:hideMark/>
          </w:tcPr>
          <w:p w14:paraId="06490AB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Lic. Osiris Pinto</w:t>
            </w:r>
          </w:p>
        </w:tc>
        <w:tc>
          <w:tcPr>
            <w:tcW w:w="3119" w:type="dxa"/>
            <w:shd w:val="clear" w:color="auto" w:fill="auto"/>
            <w:vAlign w:val="center"/>
            <w:hideMark/>
          </w:tcPr>
          <w:p w14:paraId="3B2D596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Técnica en Control de Vectores</w:t>
            </w:r>
          </w:p>
        </w:tc>
        <w:tc>
          <w:tcPr>
            <w:tcW w:w="1701" w:type="dxa"/>
            <w:vMerge/>
            <w:vAlign w:val="center"/>
            <w:hideMark/>
          </w:tcPr>
          <w:p w14:paraId="55CB004F"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67D7AC44"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57F8972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76CC7774"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1D0FA2B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7BE3016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550" w:type="dxa"/>
            <w:shd w:val="clear" w:color="auto" w:fill="auto"/>
            <w:noWrap/>
            <w:vAlign w:val="bottom"/>
            <w:hideMark/>
          </w:tcPr>
          <w:p w14:paraId="4EB9B6F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vAlign w:val="center"/>
            <w:hideMark/>
          </w:tcPr>
          <w:p w14:paraId="45AD06F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05EFDC0A" w14:textId="77777777" w:rsidTr="00992A33">
        <w:trPr>
          <w:gridAfter w:val="1"/>
          <w:wAfter w:w="12" w:type="dxa"/>
          <w:trHeight w:val="930"/>
        </w:trPr>
        <w:tc>
          <w:tcPr>
            <w:tcW w:w="1838" w:type="dxa"/>
            <w:shd w:val="clear" w:color="auto" w:fill="auto"/>
            <w:vAlign w:val="bottom"/>
            <w:hideMark/>
          </w:tcPr>
          <w:p w14:paraId="461DBBE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lastRenderedPageBreak/>
              <w:t>Lic. Humberto Osorio</w:t>
            </w:r>
          </w:p>
        </w:tc>
        <w:tc>
          <w:tcPr>
            <w:tcW w:w="3119" w:type="dxa"/>
            <w:shd w:val="clear" w:color="auto" w:fill="auto"/>
            <w:noWrap/>
            <w:vAlign w:val="bottom"/>
            <w:hideMark/>
          </w:tcPr>
          <w:p w14:paraId="7DBDD44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Director de Asesoría Legal</w:t>
            </w:r>
          </w:p>
        </w:tc>
        <w:tc>
          <w:tcPr>
            <w:tcW w:w="1701" w:type="dxa"/>
            <w:vMerge w:val="restart"/>
            <w:shd w:val="clear" w:color="auto" w:fill="auto"/>
            <w:noWrap/>
            <w:vAlign w:val="center"/>
            <w:hideMark/>
          </w:tcPr>
          <w:p w14:paraId="76854EFA" w14:textId="78858E65"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Cuba, La</w:t>
            </w:r>
            <w:r w:rsidRPr="00952A7B">
              <w:rPr>
                <w:rFonts w:ascii="Arial" w:eastAsia="Times New Roman" w:hAnsi="Arial" w:cs="Arial"/>
                <w:color w:val="000000"/>
                <w:kern w:val="0"/>
                <w:lang w:eastAsia="es-PA"/>
                <w14:ligatures w14:val="none"/>
              </w:rPr>
              <w:t xml:space="preserve"> Habana</w:t>
            </w:r>
          </w:p>
        </w:tc>
        <w:tc>
          <w:tcPr>
            <w:tcW w:w="2976" w:type="dxa"/>
            <w:vMerge w:val="restart"/>
            <w:shd w:val="clear" w:color="auto" w:fill="auto"/>
            <w:vAlign w:val="center"/>
            <w:hideMark/>
          </w:tcPr>
          <w:p w14:paraId="7333CD0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Participar de la V Convención Internacional Cuba Salud 2025.</w:t>
            </w:r>
          </w:p>
        </w:tc>
        <w:tc>
          <w:tcPr>
            <w:tcW w:w="1175" w:type="dxa"/>
            <w:vMerge w:val="restart"/>
            <w:shd w:val="clear" w:color="auto" w:fill="auto"/>
            <w:vAlign w:val="center"/>
            <w:hideMark/>
          </w:tcPr>
          <w:p w14:paraId="254D30E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20 de abril</w:t>
            </w:r>
          </w:p>
        </w:tc>
        <w:tc>
          <w:tcPr>
            <w:tcW w:w="2019" w:type="dxa"/>
            <w:vMerge w:val="restart"/>
            <w:shd w:val="clear" w:color="auto" w:fill="auto"/>
            <w:vAlign w:val="center"/>
            <w:hideMark/>
          </w:tcPr>
          <w:p w14:paraId="1D5AD48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26 de abril</w:t>
            </w:r>
          </w:p>
        </w:tc>
        <w:tc>
          <w:tcPr>
            <w:tcW w:w="1688" w:type="dxa"/>
            <w:shd w:val="clear" w:color="auto" w:fill="auto"/>
            <w:vAlign w:val="center"/>
            <w:hideMark/>
          </w:tcPr>
          <w:p w14:paraId="4098367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B/.700.00</w:t>
            </w:r>
          </w:p>
        </w:tc>
        <w:tc>
          <w:tcPr>
            <w:tcW w:w="1688" w:type="dxa"/>
            <w:shd w:val="clear" w:color="auto" w:fill="auto"/>
            <w:vAlign w:val="center"/>
            <w:hideMark/>
          </w:tcPr>
          <w:p w14:paraId="2A6ED4B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B/.1,800.00</w:t>
            </w:r>
          </w:p>
        </w:tc>
        <w:tc>
          <w:tcPr>
            <w:tcW w:w="1550" w:type="dxa"/>
            <w:shd w:val="clear" w:color="auto" w:fill="auto"/>
            <w:noWrap/>
            <w:vAlign w:val="bottom"/>
            <w:hideMark/>
          </w:tcPr>
          <w:p w14:paraId="78E25321"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vAlign w:val="center"/>
            <w:hideMark/>
          </w:tcPr>
          <w:p w14:paraId="1D9C081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72257B41" w14:textId="77777777" w:rsidTr="00992A33">
        <w:trPr>
          <w:gridAfter w:val="1"/>
          <w:wAfter w:w="12" w:type="dxa"/>
          <w:trHeight w:val="645"/>
        </w:trPr>
        <w:tc>
          <w:tcPr>
            <w:tcW w:w="1838" w:type="dxa"/>
            <w:shd w:val="clear" w:color="auto" w:fill="auto"/>
            <w:vAlign w:val="center"/>
            <w:hideMark/>
          </w:tcPr>
          <w:p w14:paraId="5DD9122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Lic. Genevieve Epailly</w:t>
            </w:r>
          </w:p>
        </w:tc>
        <w:tc>
          <w:tcPr>
            <w:tcW w:w="3119" w:type="dxa"/>
            <w:shd w:val="clear" w:color="auto" w:fill="auto"/>
            <w:noWrap/>
            <w:vAlign w:val="center"/>
            <w:hideMark/>
          </w:tcPr>
          <w:p w14:paraId="6B99FD3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Abogada de Asesoría Legal</w:t>
            </w:r>
          </w:p>
        </w:tc>
        <w:tc>
          <w:tcPr>
            <w:tcW w:w="1701" w:type="dxa"/>
            <w:vMerge/>
            <w:vAlign w:val="center"/>
            <w:hideMark/>
          </w:tcPr>
          <w:p w14:paraId="0D9416C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053A8413"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30E96DB9"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06231B1E"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vAlign w:val="center"/>
            <w:hideMark/>
          </w:tcPr>
          <w:p w14:paraId="0BD3F74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B/.700.00</w:t>
            </w:r>
          </w:p>
        </w:tc>
        <w:tc>
          <w:tcPr>
            <w:tcW w:w="1688" w:type="dxa"/>
            <w:shd w:val="clear" w:color="auto" w:fill="auto"/>
            <w:vAlign w:val="center"/>
            <w:hideMark/>
          </w:tcPr>
          <w:p w14:paraId="5DC1830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B/.1,800.00</w:t>
            </w:r>
          </w:p>
        </w:tc>
        <w:tc>
          <w:tcPr>
            <w:tcW w:w="1550" w:type="dxa"/>
            <w:shd w:val="clear" w:color="auto" w:fill="auto"/>
            <w:noWrap/>
            <w:vAlign w:val="bottom"/>
            <w:hideMark/>
          </w:tcPr>
          <w:p w14:paraId="63CBAA02"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vAlign w:val="center"/>
            <w:hideMark/>
          </w:tcPr>
          <w:p w14:paraId="1745F71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67328880" w14:textId="77777777" w:rsidTr="00992A33">
        <w:trPr>
          <w:gridAfter w:val="1"/>
          <w:wAfter w:w="12" w:type="dxa"/>
          <w:trHeight w:val="750"/>
        </w:trPr>
        <w:tc>
          <w:tcPr>
            <w:tcW w:w="1838" w:type="dxa"/>
            <w:shd w:val="clear" w:color="auto" w:fill="auto"/>
            <w:vAlign w:val="center"/>
            <w:hideMark/>
          </w:tcPr>
          <w:p w14:paraId="22F6728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Lic. Yadira Moreno</w:t>
            </w:r>
          </w:p>
        </w:tc>
        <w:tc>
          <w:tcPr>
            <w:tcW w:w="3119" w:type="dxa"/>
            <w:shd w:val="clear" w:color="auto" w:fill="auto"/>
            <w:noWrap/>
            <w:vAlign w:val="center"/>
            <w:hideMark/>
          </w:tcPr>
          <w:p w14:paraId="6393D5D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Abogada de Asesoría Legal</w:t>
            </w:r>
          </w:p>
        </w:tc>
        <w:tc>
          <w:tcPr>
            <w:tcW w:w="1701" w:type="dxa"/>
            <w:vMerge/>
            <w:vAlign w:val="center"/>
            <w:hideMark/>
          </w:tcPr>
          <w:p w14:paraId="397F9989"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6F31DCFB"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66F77C92"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3F72E2C0"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vAlign w:val="center"/>
            <w:hideMark/>
          </w:tcPr>
          <w:p w14:paraId="3571C74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B/.700.00</w:t>
            </w:r>
          </w:p>
        </w:tc>
        <w:tc>
          <w:tcPr>
            <w:tcW w:w="1688" w:type="dxa"/>
            <w:shd w:val="clear" w:color="auto" w:fill="auto"/>
            <w:vAlign w:val="center"/>
            <w:hideMark/>
          </w:tcPr>
          <w:p w14:paraId="68F7AFD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B/.1,800.00</w:t>
            </w:r>
          </w:p>
        </w:tc>
        <w:tc>
          <w:tcPr>
            <w:tcW w:w="1550" w:type="dxa"/>
            <w:shd w:val="clear" w:color="auto" w:fill="auto"/>
            <w:noWrap/>
            <w:vAlign w:val="center"/>
            <w:hideMark/>
          </w:tcPr>
          <w:p w14:paraId="0122716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vAlign w:val="center"/>
            <w:hideMark/>
          </w:tcPr>
          <w:p w14:paraId="216628A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302A9B4C" w14:textId="77777777" w:rsidTr="00992A33">
        <w:trPr>
          <w:gridAfter w:val="1"/>
          <w:wAfter w:w="12" w:type="dxa"/>
          <w:trHeight w:val="739"/>
        </w:trPr>
        <w:tc>
          <w:tcPr>
            <w:tcW w:w="1838" w:type="dxa"/>
            <w:shd w:val="clear" w:color="auto" w:fill="auto"/>
            <w:vAlign w:val="center"/>
            <w:hideMark/>
          </w:tcPr>
          <w:p w14:paraId="18AB892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Mgter. Alicia M. Castillo M.</w:t>
            </w:r>
          </w:p>
        </w:tc>
        <w:tc>
          <w:tcPr>
            <w:tcW w:w="3119" w:type="dxa"/>
            <w:shd w:val="clear" w:color="auto" w:fill="auto"/>
            <w:vAlign w:val="center"/>
            <w:hideMark/>
          </w:tcPr>
          <w:p w14:paraId="07BA707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Subdirectora de Farmacia y Drogas </w:t>
            </w:r>
          </w:p>
        </w:tc>
        <w:tc>
          <w:tcPr>
            <w:tcW w:w="1701" w:type="dxa"/>
            <w:vMerge/>
            <w:vAlign w:val="center"/>
            <w:hideMark/>
          </w:tcPr>
          <w:p w14:paraId="16788AE0"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2974757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73CB11A5"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5070E8B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vAlign w:val="center"/>
            <w:hideMark/>
          </w:tcPr>
          <w:p w14:paraId="169CA566"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B/.773.00</w:t>
            </w:r>
          </w:p>
        </w:tc>
        <w:tc>
          <w:tcPr>
            <w:tcW w:w="1688" w:type="dxa"/>
            <w:shd w:val="clear" w:color="auto" w:fill="auto"/>
            <w:vAlign w:val="center"/>
            <w:hideMark/>
          </w:tcPr>
          <w:p w14:paraId="128209A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B/.1,800.00</w:t>
            </w:r>
          </w:p>
        </w:tc>
        <w:tc>
          <w:tcPr>
            <w:tcW w:w="1550" w:type="dxa"/>
            <w:shd w:val="clear" w:color="auto" w:fill="auto"/>
            <w:vAlign w:val="center"/>
            <w:hideMark/>
          </w:tcPr>
          <w:p w14:paraId="21B83B9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33D291A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3D39DC89" w14:textId="77777777" w:rsidTr="00992A33">
        <w:trPr>
          <w:gridAfter w:val="1"/>
          <w:wAfter w:w="12" w:type="dxa"/>
          <w:trHeight w:val="795"/>
        </w:trPr>
        <w:tc>
          <w:tcPr>
            <w:tcW w:w="1838" w:type="dxa"/>
            <w:shd w:val="clear" w:color="auto" w:fill="auto"/>
            <w:vAlign w:val="center"/>
            <w:hideMark/>
          </w:tcPr>
          <w:p w14:paraId="6D946E1A" w14:textId="29A99EE0"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Lcdo.</w:t>
            </w:r>
            <w:r w:rsidRPr="00952A7B">
              <w:rPr>
                <w:rFonts w:ascii="Arial" w:eastAsia="Times New Roman" w:hAnsi="Arial" w:cs="Arial"/>
                <w:color w:val="000000"/>
                <w:kern w:val="0"/>
                <w:lang w:eastAsia="es-PA"/>
                <w14:ligatures w14:val="none"/>
              </w:rPr>
              <w:t xml:space="preserve"> Samuel Echeona</w:t>
            </w:r>
          </w:p>
        </w:tc>
        <w:tc>
          <w:tcPr>
            <w:tcW w:w="3119" w:type="dxa"/>
            <w:shd w:val="clear" w:color="auto" w:fill="auto"/>
            <w:vAlign w:val="center"/>
            <w:hideMark/>
          </w:tcPr>
          <w:p w14:paraId="7250BDD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Asesora Legal del Despacho Superior</w:t>
            </w:r>
          </w:p>
        </w:tc>
        <w:tc>
          <w:tcPr>
            <w:tcW w:w="1701" w:type="dxa"/>
            <w:vMerge/>
            <w:vAlign w:val="center"/>
            <w:hideMark/>
          </w:tcPr>
          <w:p w14:paraId="1E8F348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76DECFAB"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5CD1CEE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77FB5074"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noWrap/>
            <w:vAlign w:val="center"/>
            <w:hideMark/>
          </w:tcPr>
          <w:p w14:paraId="7F4A587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B/.773.00</w:t>
            </w:r>
          </w:p>
        </w:tc>
        <w:tc>
          <w:tcPr>
            <w:tcW w:w="1688" w:type="dxa"/>
            <w:shd w:val="clear" w:color="auto" w:fill="auto"/>
            <w:vAlign w:val="center"/>
            <w:hideMark/>
          </w:tcPr>
          <w:p w14:paraId="6231B86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B/.1,500.00</w:t>
            </w:r>
          </w:p>
        </w:tc>
        <w:tc>
          <w:tcPr>
            <w:tcW w:w="1550" w:type="dxa"/>
            <w:shd w:val="clear" w:color="auto" w:fill="auto"/>
            <w:vAlign w:val="center"/>
            <w:hideMark/>
          </w:tcPr>
          <w:p w14:paraId="287C578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4535D50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4C70FCCB" w14:textId="77777777" w:rsidTr="00992A33">
        <w:trPr>
          <w:gridAfter w:val="1"/>
          <w:wAfter w:w="12" w:type="dxa"/>
          <w:trHeight w:val="1149"/>
        </w:trPr>
        <w:tc>
          <w:tcPr>
            <w:tcW w:w="1838" w:type="dxa"/>
            <w:shd w:val="clear" w:color="auto" w:fill="auto"/>
            <w:vAlign w:val="center"/>
            <w:hideMark/>
          </w:tcPr>
          <w:p w14:paraId="6FCE44B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Lcdo. Jorge Quirós</w:t>
            </w:r>
          </w:p>
        </w:tc>
        <w:tc>
          <w:tcPr>
            <w:tcW w:w="3119" w:type="dxa"/>
            <w:shd w:val="clear" w:color="auto" w:fill="auto"/>
            <w:vAlign w:val="center"/>
            <w:hideMark/>
          </w:tcPr>
          <w:p w14:paraId="572E1AB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Integrante de los GTR de Calidad de Agua y el Riesgo y Cambio Climático</w:t>
            </w:r>
          </w:p>
        </w:tc>
        <w:tc>
          <w:tcPr>
            <w:tcW w:w="1701" w:type="dxa"/>
            <w:shd w:val="clear" w:color="auto" w:fill="auto"/>
            <w:vAlign w:val="center"/>
            <w:hideMark/>
          </w:tcPr>
          <w:p w14:paraId="1EC46F7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Bolivia, Santa Cruz de la Sierra</w:t>
            </w:r>
          </w:p>
        </w:tc>
        <w:tc>
          <w:tcPr>
            <w:tcW w:w="2976" w:type="dxa"/>
            <w:shd w:val="clear" w:color="auto" w:fill="auto"/>
            <w:vAlign w:val="center"/>
            <w:hideMark/>
          </w:tcPr>
          <w:p w14:paraId="70F4376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Curso “Determinación de la Vulnerabilidad y riesgo de contaminación de acuíferos”</w:t>
            </w:r>
          </w:p>
        </w:tc>
        <w:tc>
          <w:tcPr>
            <w:tcW w:w="1175" w:type="dxa"/>
            <w:shd w:val="clear" w:color="auto" w:fill="auto"/>
            <w:vAlign w:val="center"/>
            <w:hideMark/>
          </w:tcPr>
          <w:p w14:paraId="63FDBC0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06 de abril</w:t>
            </w:r>
          </w:p>
        </w:tc>
        <w:tc>
          <w:tcPr>
            <w:tcW w:w="2019" w:type="dxa"/>
            <w:shd w:val="clear" w:color="auto" w:fill="auto"/>
            <w:vAlign w:val="center"/>
            <w:hideMark/>
          </w:tcPr>
          <w:p w14:paraId="182394D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12 de abril</w:t>
            </w:r>
          </w:p>
        </w:tc>
        <w:tc>
          <w:tcPr>
            <w:tcW w:w="1688" w:type="dxa"/>
            <w:shd w:val="clear" w:color="auto" w:fill="auto"/>
            <w:vAlign w:val="center"/>
            <w:hideMark/>
          </w:tcPr>
          <w:p w14:paraId="2811C15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AECID</w:t>
            </w:r>
          </w:p>
        </w:tc>
        <w:tc>
          <w:tcPr>
            <w:tcW w:w="1688" w:type="dxa"/>
            <w:shd w:val="clear" w:color="auto" w:fill="auto"/>
            <w:vAlign w:val="center"/>
            <w:hideMark/>
          </w:tcPr>
          <w:p w14:paraId="4C32FA26"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AECID</w:t>
            </w:r>
          </w:p>
        </w:tc>
        <w:tc>
          <w:tcPr>
            <w:tcW w:w="1550" w:type="dxa"/>
            <w:shd w:val="clear" w:color="auto" w:fill="auto"/>
            <w:vAlign w:val="center"/>
            <w:hideMark/>
          </w:tcPr>
          <w:p w14:paraId="5AB371F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3127519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2A15D471" w14:textId="77777777" w:rsidTr="00992A33">
        <w:trPr>
          <w:gridAfter w:val="1"/>
          <w:wAfter w:w="12" w:type="dxa"/>
          <w:trHeight w:val="1176"/>
        </w:trPr>
        <w:tc>
          <w:tcPr>
            <w:tcW w:w="1838" w:type="dxa"/>
            <w:shd w:val="clear" w:color="auto" w:fill="auto"/>
            <w:vAlign w:val="center"/>
            <w:hideMark/>
          </w:tcPr>
          <w:p w14:paraId="259EDEC6" w14:textId="77777777" w:rsidR="00952A7B" w:rsidRPr="00952A7B" w:rsidRDefault="00952A7B" w:rsidP="005205FC">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 Manuel A. Zambrano Chang</w:t>
            </w:r>
          </w:p>
        </w:tc>
        <w:tc>
          <w:tcPr>
            <w:tcW w:w="3119" w:type="dxa"/>
            <w:shd w:val="clear" w:color="000000" w:fill="FFFFFF"/>
            <w:vAlign w:val="center"/>
            <w:hideMark/>
          </w:tcPr>
          <w:p w14:paraId="5AD52267" w14:textId="7D96F1F5" w:rsidR="00952A7B" w:rsidRPr="00952A7B" w:rsidRDefault="00952A7B" w:rsidP="005205FC">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Viceministro</w:t>
            </w:r>
            <w:r w:rsidRPr="00952A7B">
              <w:rPr>
                <w:rFonts w:ascii="Arial" w:eastAsia="Times New Roman" w:hAnsi="Arial" w:cs="Arial"/>
                <w:color w:val="000000"/>
                <w:kern w:val="0"/>
                <w:lang w:eastAsia="es-PA"/>
                <w14:ligatures w14:val="none"/>
              </w:rPr>
              <w:t xml:space="preserve"> de Salud</w:t>
            </w:r>
          </w:p>
        </w:tc>
        <w:tc>
          <w:tcPr>
            <w:tcW w:w="1701" w:type="dxa"/>
            <w:vMerge w:val="restart"/>
            <w:shd w:val="clear" w:color="auto" w:fill="auto"/>
            <w:vAlign w:val="center"/>
            <w:hideMark/>
          </w:tcPr>
          <w:p w14:paraId="3D95A66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Ginebra, Suiza</w:t>
            </w:r>
          </w:p>
        </w:tc>
        <w:tc>
          <w:tcPr>
            <w:tcW w:w="2976" w:type="dxa"/>
            <w:vMerge w:val="restart"/>
            <w:shd w:val="clear" w:color="auto" w:fill="auto"/>
            <w:vAlign w:val="center"/>
            <w:hideMark/>
          </w:tcPr>
          <w:p w14:paraId="311DA73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Reunión de Alto Nivel de las reuniones de las Conferencias de las Partes en los Convenios de Basilea, Estocolmo y Rotterdam</w:t>
            </w:r>
          </w:p>
        </w:tc>
        <w:tc>
          <w:tcPr>
            <w:tcW w:w="1175" w:type="dxa"/>
            <w:vMerge w:val="restart"/>
            <w:shd w:val="clear" w:color="auto" w:fill="auto"/>
            <w:vAlign w:val="center"/>
            <w:hideMark/>
          </w:tcPr>
          <w:p w14:paraId="59A4D51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28 de abril</w:t>
            </w:r>
          </w:p>
        </w:tc>
        <w:tc>
          <w:tcPr>
            <w:tcW w:w="2019" w:type="dxa"/>
            <w:vMerge w:val="restart"/>
            <w:shd w:val="clear" w:color="auto" w:fill="auto"/>
            <w:vAlign w:val="center"/>
            <w:hideMark/>
          </w:tcPr>
          <w:p w14:paraId="2390246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02 de mayo</w:t>
            </w:r>
          </w:p>
        </w:tc>
        <w:tc>
          <w:tcPr>
            <w:tcW w:w="1688" w:type="dxa"/>
            <w:shd w:val="clear" w:color="auto" w:fill="auto"/>
            <w:vAlign w:val="center"/>
            <w:hideMark/>
          </w:tcPr>
          <w:p w14:paraId="6BD17B1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Secretaria de los Convenios Ambientales de Estocolmo, Basilea y Roterdam</w:t>
            </w:r>
          </w:p>
        </w:tc>
        <w:tc>
          <w:tcPr>
            <w:tcW w:w="1688" w:type="dxa"/>
            <w:shd w:val="clear" w:color="auto" w:fill="auto"/>
            <w:vAlign w:val="center"/>
            <w:hideMark/>
          </w:tcPr>
          <w:p w14:paraId="5E6B8B2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Secretaria de los Convenios Ambientales de Estocolmo, Basilea y Roterdam</w:t>
            </w:r>
          </w:p>
        </w:tc>
        <w:tc>
          <w:tcPr>
            <w:tcW w:w="1550" w:type="dxa"/>
            <w:shd w:val="clear" w:color="auto" w:fill="auto"/>
            <w:vAlign w:val="center"/>
            <w:hideMark/>
          </w:tcPr>
          <w:p w14:paraId="5EC7202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182A4E9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011E74F2" w14:textId="77777777" w:rsidTr="00992A33">
        <w:trPr>
          <w:gridAfter w:val="1"/>
          <w:wAfter w:w="12" w:type="dxa"/>
          <w:trHeight w:val="915"/>
        </w:trPr>
        <w:tc>
          <w:tcPr>
            <w:tcW w:w="1838" w:type="dxa"/>
            <w:shd w:val="clear" w:color="auto" w:fill="auto"/>
            <w:vAlign w:val="center"/>
            <w:hideMark/>
          </w:tcPr>
          <w:p w14:paraId="2283C7DF" w14:textId="77777777" w:rsidR="00952A7B" w:rsidRPr="00952A7B" w:rsidRDefault="00952A7B" w:rsidP="005205FC">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Lcda. Teresa Moreno</w:t>
            </w:r>
          </w:p>
        </w:tc>
        <w:tc>
          <w:tcPr>
            <w:tcW w:w="3119" w:type="dxa"/>
            <w:shd w:val="clear" w:color="auto" w:fill="auto"/>
            <w:vAlign w:val="center"/>
            <w:hideMark/>
          </w:tcPr>
          <w:p w14:paraId="3497812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Directora de Asuntos Internacionales y Cooperación Técnica</w:t>
            </w:r>
          </w:p>
        </w:tc>
        <w:tc>
          <w:tcPr>
            <w:tcW w:w="1701" w:type="dxa"/>
            <w:vMerge/>
            <w:vAlign w:val="center"/>
            <w:hideMark/>
          </w:tcPr>
          <w:p w14:paraId="3343093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2DC55E78"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07C5F31F"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500C915A"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vAlign w:val="center"/>
            <w:hideMark/>
          </w:tcPr>
          <w:p w14:paraId="0D31002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OPS</w:t>
            </w:r>
          </w:p>
        </w:tc>
        <w:tc>
          <w:tcPr>
            <w:tcW w:w="1688" w:type="dxa"/>
            <w:shd w:val="clear" w:color="auto" w:fill="auto"/>
            <w:vAlign w:val="center"/>
            <w:hideMark/>
          </w:tcPr>
          <w:p w14:paraId="2BE01643"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OPS</w:t>
            </w:r>
          </w:p>
        </w:tc>
        <w:tc>
          <w:tcPr>
            <w:tcW w:w="1550" w:type="dxa"/>
            <w:shd w:val="clear" w:color="auto" w:fill="auto"/>
            <w:vAlign w:val="center"/>
            <w:hideMark/>
          </w:tcPr>
          <w:p w14:paraId="4EC2DB5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24663C2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216ABE89" w14:textId="77777777" w:rsidTr="00992A33">
        <w:trPr>
          <w:gridAfter w:val="1"/>
          <w:wAfter w:w="12" w:type="dxa"/>
          <w:trHeight w:val="915"/>
        </w:trPr>
        <w:tc>
          <w:tcPr>
            <w:tcW w:w="1838" w:type="dxa"/>
            <w:shd w:val="clear" w:color="auto" w:fill="auto"/>
            <w:vAlign w:val="center"/>
            <w:hideMark/>
          </w:tcPr>
          <w:p w14:paraId="0879140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Lic. Fanny Castillo</w:t>
            </w:r>
          </w:p>
        </w:tc>
        <w:tc>
          <w:tcPr>
            <w:tcW w:w="3119" w:type="dxa"/>
            <w:shd w:val="clear" w:color="auto" w:fill="auto"/>
            <w:vAlign w:val="center"/>
            <w:hideMark/>
          </w:tcPr>
          <w:p w14:paraId="2802E9A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Jefa del Dpto. de Saneamiento Ambiental </w:t>
            </w:r>
          </w:p>
        </w:tc>
        <w:tc>
          <w:tcPr>
            <w:tcW w:w="1701" w:type="dxa"/>
            <w:vMerge/>
            <w:vAlign w:val="center"/>
            <w:hideMark/>
          </w:tcPr>
          <w:p w14:paraId="12CB649C"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1FDF6CD5"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restart"/>
            <w:shd w:val="clear" w:color="auto" w:fill="auto"/>
            <w:vAlign w:val="center"/>
            <w:hideMark/>
          </w:tcPr>
          <w:p w14:paraId="595EF36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25 de abril</w:t>
            </w:r>
          </w:p>
        </w:tc>
        <w:tc>
          <w:tcPr>
            <w:tcW w:w="2019" w:type="dxa"/>
            <w:vMerge w:val="restart"/>
            <w:shd w:val="clear" w:color="auto" w:fill="auto"/>
            <w:vAlign w:val="center"/>
            <w:hideMark/>
          </w:tcPr>
          <w:p w14:paraId="2AAC3AE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10 de mayo</w:t>
            </w:r>
          </w:p>
        </w:tc>
        <w:tc>
          <w:tcPr>
            <w:tcW w:w="1688" w:type="dxa"/>
            <w:vMerge w:val="restart"/>
            <w:shd w:val="clear" w:color="auto" w:fill="auto"/>
            <w:vAlign w:val="center"/>
            <w:hideMark/>
          </w:tcPr>
          <w:p w14:paraId="2C5B88F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Secretaria de los Convenios Ambientales de Estocolmo, Basilea y Roterdam</w:t>
            </w:r>
          </w:p>
        </w:tc>
        <w:tc>
          <w:tcPr>
            <w:tcW w:w="1688" w:type="dxa"/>
            <w:vMerge w:val="restart"/>
            <w:shd w:val="clear" w:color="auto" w:fill="auto"/>
            <w:vAlign w:val="center"/>
            <w:hideMark/>
          </w:tcPr>
          <w:p w14:paraId="4EA2C45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Secretaria de los Convenios Ambientales de Estocolmo, Basilea y Roterdam</w:t>
            </w:r>
          </w:p>
        </w:tc>
        <w:tc>
          <w:tcPr>
            <w:tcW w:w="1550" w:type="dxa"/>
            <w:shd w:val="clear" w:color="auto" w:fill="auto"/>
            <w:vAlign w:val="center"/>
            <w:hideMark/>
          </w:tcPr>
          <w:p w14:paraId="555368E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7BEBD581"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6FA87BA8" w14:textId="77777777" w:rsidTr="00992A33">
        <w:trPr>
          <w:gridAfter w:val="1"/>
          <w:wAfter w:w="12" w:type="dxa"/>
          <w:trHeight w:val="915"/>
        </w:trPr>
        <w:tc>
          <w:tcPr>
            <w:tcW w:w="1838" w:type="dxa"/>
            <w:shd w:val="clear" w:color="auto" w:fill="auto"/>
            <w:vAlign w:val="center"/>
            <w:hideMark/>
          </w:tcPr>
          <w:p w14:paraId="171C4D3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Lic. Yuliana Camargo</w:t>
            </w:r>
          </w:p>
        </w:tc>
        <w:tc>
          <w:tcPr>
            <w:tcW w:w="3119" w:type="dxa"/>
            <w:shd w:val="clear" w:color="auto" w:fill="auto"/>
            <w:vAlign w:val="center"/>
            <w:hideMark/>
          </w:tcPr>
          <w:p w14:paraId="33CBCAD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Técnica de la SDGSA</w:t>
            </w:r>
          </w:p>
        </w:tc>
        <w:tc>
          <w:tcPr>
            <w:tcW w:w="1701" w:type="dxa"/>
            <w:vMerge/>
            <w:vAlign w:val="center"/>
            <w:hideMark/>
          </w:tcPr>
          <w:p w14:paraId="2C3278D9"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2752DA46"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308C872C"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1A2A715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694BB01C"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17B00C46"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550" w:type="dxa"/>
            <w:shd w:val="clear" w:color="auto" w:fill="auto"/>
            <w:vAlign w:val="center"/>
            <w:hideMark/>
          </w:tcPr>
          <w:p w14:paraId="57D394B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6AFC6480"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7126C498" w14:textId="77777777" w:rsidTr="00992A33">
        <w:trPr>
          <w:gridAfter w:val="1"/>
          <w:wAfter w:w="12" w:type="dxa"/>
          <w:trHeight w:val="1045"/>
        </w:trPr>
        <w:tc>
          <w:tcPr>
            <w:tcW w:w="1838" w:type="dxa"/>
            <w:shd w:val="clear" w:color="auto" w:fill="auto"/>
            <w:vAlign w:val="center"/>
            <w:hideMark/>
          </w:tcPr>
          <w:p w14:paraId="2D9CD14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Licdo. Juan José Lezcano</w:t>
            </w:r>
          </w:p>
        </w:tc>
        <w:tc>
          <w:tcPr>
            <w:tcW w:w="3119" w:type="dxa"/>
            <w:shd w:val="clear" w:color="auto" w:fill="auto"/>
            <w:vAlign w:val="center"/>
            <w:hideMark/>
          </w:tcPr>
          <w:p w14:paraId="74160E6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Subdirector de Salud Ambiental </w:t>
            </w:r>
          </w:p>
        </w:tc>
        <w:tc>
          <w:tcPr>
            <w:tcW w:w="1701" w:type="dxa"/>
            <w:vMerge/>
            <w:vAlign w:val="center"/>
            <w:hideMark/>
          </w:tcPr>
          <w:p w14:paraId="0D343FD2"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2881150F"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7B11BC02"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72669794"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64D1F689"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65EBC3A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550" w:type="dxa"/>
            <w:shd w:val="clear" w:color="auto" w:fill="auto"/>
            <w:vAlign w:val="center"/>
            <w:hideMark/>
          </w:tcPr>
          <w:p w14:paraId="20BDCE5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2CA28075"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3EB35677" w14:textId="77777777" w:rsidTr="00992A33">
        <w:trPr>
          <w:gridAfter w:val="1"/>
          <w:wAfter w:w="12" w:type="dxa"/>
          <w:trHeight w:val="2239"/>
        </w:trPr>
        <w:tc>
          <w:tcPr>
            <w:tcW w:w="1838" w:type="dxa"/>
            <w:shd w:val="clear" w:color="auto" w:fill="auto"/>
            <w:vAlign w:val="center"/>
            <w:hideMark/>
          </w:tcPr>
          <w:p w14:paraId="7750EEF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lastRenderedPageBreak/>
              <w:t>Lcda. Ana Gabriela De Gracia</w:t>
            </w:r>
          </w:p>
        </w:tc>
        <w:tc>
          <w:tcPr>
            <w:tcW w:w="3119" w:type="dxa"/>
            <w:shd w:val="clear" w:color="auto" w:fill="auto"/>
            <w:vAlign w:val="center"/>
            <w:hideMark/>
          </w:tcPr>
          <w:p w14:paraId="76ED057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Asistente del Despacho Superior</w:t>
            </w:r>
          </w:p>
        </w:tc>
        <w:tc>
          <w:tcPr>
            <w:tcW w:w="1701" w:type="dxa"/>
            <w:vMerge w:val="restart"/>
            <w:shd w:val="clear" w:color="auto" w:fill="auto"/>
            <w:vAlign w:val="center"/>
            <w:hideMark/>
          </w:tcPr>
          <w:p w14:paraId="7DF6E6C3" w14:textId="640E8C5C"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Medellín</w:t>
            </w:r>
            <w:r w:rsidRPr="00952A7B">
              <w:rPr>
                <w:rFonts w:ascii="Arial" w:eastAsia="Times New Roman" w:hAnsi="Arial" w:cs="Arial"/>
                <w:color w:val="000000"/>
                <w:kern w:val="0"/>
                <w:lang w:eastAsia="es-PA"/>
                <w14:ligatures w14:val="none"/>
              </w:rPr>
              <w:t xml:space="preserve">, </w:t>
            </w:r>
            <w:r w:rsidRPr="00952A7B">
              <w:rPr>
                <w:rFonts w:ascii="Arial" w:eastAsia="Times New Roman" w:hAnsi="Arial" w:cs="Arial"/>
                <w:color w:val="000000"/>
                <w:kern w:val="0"/>
                <w:lang w:eastAsia="es-PA"/>
                <w14:ligatures w14:val="none"/>
              </w:rPr>
              <w:t>Bogotá</w:t>
            </w:r>
            <w:r w:rsidRPr="00952A7B">
              <w:rPr>
                <w:rFonts w:ascii="Arial" w:eastAsia="Times New Roman" w:hAnsi="Arial" w:cs="Arial"/>
                <w:color w:val="000000"/>
                <w:kern w:val="0"/>
                <w:lang w:eastAsia="es-PA"/>
                <w14:ligatures w14:val="none"/>
              </w:rPr>
              <w:t xml:space="preserve"> Colombia</w:t>
            </w:r>
          </w:p>
        </w:tc>
        <w:tc>
          <w:tcPr>
            <w:tcW w:w="2976" w:type="dxa"/>
            <w:vMerge w:val="restart"/>
            <w:shd w:val="clear" w:color="auto" w:fill="auto"/>
            <w:vAlign w:val="center"/>
            <w:hideMark/>
          </w:tcPr>
          <w:p w14:paraId="03FFCCE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Medellín: Participar en la VIII </w:t>
            </w:r>
            <w:proofErr w:type="gramStart"/>
            <w:r w:rsidRPr="00952A7B">
              <w:rPr>
                <w:rFonts w:ascii="Arial" w:eastAsia="Times New Roman" w:hAnsi="Arial" w:cs="Arial"/>
                <w:color w:val="000000"/>
                <w:kern w:val="0"/>
                <w:lang w:eastAsia="es-PA"/>
                <w14:ligatures w14:val="none"/>
              </w:rPr>
              <w:t>Meeting</w:t>
            </w:r>
            <w:proofErr w:type="gramEnd"/>
            <w:r w:rsidRPr="00952A7B">
              <w:rPr>
                <w:rFonts w:ascii="Arial" w:eastAsia="Times New Roman" w:hAnsi="Arial" w:cs="Arial"/>
                <w:color w:val="000000"/>
                <w:kern w:val="0"/>
                <w:lang w:eastAsia="es-PA"/>
                <w14:ligatures w14:val="none"/>
              </w:rPr>
              <w:t xml:space="preserve"> PANDENGUE NET Medellín 2025; la Universidad Nacional de Medellín y la Empresa de biotecnología Vaxthera.Bogotá: Visita a la Universidad Nacional de Bogotá y el Instituto Nacional de Salud de Colombia.</w:t>
            </w:r>
          </w:p>
        </w:tc>
        <w:tc>
          <w:tcPr>
            <w:tcW w:w="1175" w:type="dxa"/>
            <w:shd w:val="clear" w:color="auto" w:fill="auto"/>
            <w:vAlign w:val="center"/>
            <w:hideMark/>
          </w:tcPr>
          <w:p w14:paraId="0763F8A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22 de abril de 2025</w:t>
            </w:r>
          </w:p>
        </w:tc>
        <w:tc>
          <w:tcPr>
            <w:tcW w:w="2019" w:type="dxa"/>
            <w:shd w:val="clear" w:color="auto" w:fill="auto"/>
            <w:vAlign w:val="center"/>
            <w:hideMark/>
          </w:tcPr>
          <w:p w14:paraId="214716D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25 de abril de 2025</w:t>
            </w:r>
          </w:p>
        </w:tc>
        <w:tc>
          <w:tcPr>
            <w:tcW w:w="1688" w:type="dxa"/>
            <w:shd w:val="clear" w:color="auto" w:fill="auto"/>
            <w:vAlign w:val="center"/>
            <w:hideMark/>
          </w:tcPr>
          <w:p w14:paraId="3F449086"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B/.596.00</w:t>
            </w:r>
          </w:p>
        </w:tc>
        <w:tc>
          <w:tcPr>
            <w:tcW w:w="1688" w:type="dxa"/>
            <w:shd w:val="clear" w:color="auto" w:fill="auto"/>
            <w:vAlign w:val="center"/>
            <w:hideMark/>
          </w:tcPr>
          <w:p w14:paraId="44692AA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B/.1,200.00</w:t>
            </w:r>
          </w:p>
        </w:tc>
        <w:tc>
          <w:tcPr>
            <w:tcW w:w="1550" w:type="dxa"/>
            <w:shd w:val="clear" w:color="auto" w:fill="auto"/>
            <w:vAlign w:val="center"/>
            <w:hideMark/>
          </w:tcPr>
          <w:p w14:paraId="1196884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56F63746"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082CA97B" w14:textId="77777777" w:rsidTr="00992A33">
        <w:trPr>
          <w:gridAfter w:val="1"/>
          <w:wAfter w:w="12" w:type="dxa"/>
          <w:trHeight w:val="915"/>
        </w:trPr>
        <w:tc>
          <w:tcPr>
            <w:tcW w:w="1838" w:type="dxa"/>
            <w:shd w:val="clear" w:color="auto" w:fill="auto"/>
            <w:vAlign w:val="center"/>
            <w:hideMark/>
          </w:tcPr>
          <w:p w14:paraId="0108EB80"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 Fernando Boyd Galindo</w:t>
            </w:r>
          </w:p>
        </w:tc>
        <w:tc>
          <w:tcPr>
            <w:tcW w:w="3119" w:type="dxa"/>
            <w:shd w:val="clear" w:color="auto" w:fill="auto"/>
            <w:vAlign w:val="center"/>
            <w:hideMark/>
          </w:tcPr>
          <w:p w14:paraId="4E3F3FE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Ministro de Salud</w:t>
            </w:r>
          </w:p>
        </w:tc>
        <w:tc>
          <w:tcPr>
            <w:tcW w:w="1701" w:type="dxa"/>
            <w:vMerge/>
            <w:vAlign w:val="center"/>
            <w:hideMark/>
          </w:tcPr>
          <w:p w14:paraId="6B844A4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4D236428"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shd w:val="clear" w:color="auto" w:fill="auto"/>
            <w:vAlign w:val="center"/>
            <w:hideMark/>
          </w:tcPr>
          <w:p w14:paraId="61C639D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22 de abril de 2025</w:t>
            </w:r>
          </w:p>
        </w:tc>
        <w:tc>
          <w:tcPr>
            <w:tcW w:w="2019" w:type="dxa"/>
            <w:shd w:val="clear" w:color="auto" w:fill="auto"/>
            <w:vAlign w:val="center"/>
            <w:hideMark/>
          </w:tcPr>
          <w:p w14:paraId="0CA672E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27 de abril</w:t>
            </w:r>
          </w:p>
        </w:tc>
        <w:tc>
          <w:tcPr>
            <w:tcW w:w="1688" w:type="dxa"/>
            <w:shd w:val="clear" w:color="auto" w:fill="auto"/>
            <w:vAlign w:val="center"/>
            <w:hideMark/>
          </w:tcPr>
          <w:p w14:paraId="6892FAC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B/.746.00</w:t>
            </w:r>
          </w:p>
        </w:tc>
        <w:tc>
          <w:tcPr>
            <w:tcW w:w="1688" w:type="dxa"/>
            <w:shd w:val="clear" w:color="auto" w:fill="auto"/>
            <w:noWrap/>
            <w:vAlign w:val="center"/>
            <w:hideMark/>
          </w:tcPr>
          <w:p w14:paraId="69ABB5F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B/.2,000.00</w:t>
            </w:r>
          </w:p>
        </w:tc>
        <w:tc>
          <w:tcPr>
            <w:tcW w:w="1550" w:type="dxa"/>
            <w:shd w:val="clear" w:color="auto" w:fill="auto"/>
            <w:noWrap/>
            <w:vAlign w:val="center"/>
            <w:hideMark/>
          </w:tcPr>
          <w:p w14:paraId="7B702FA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19E1D81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r w:rsidR="005205FC" w:rsidRPr="00952A7B" w14:paraId="092D9282" w14:textId="77777777" w:rsidTr="00992A33">
        <w:trPr>
          <w:gridAfter w:val="1"/>
          <w:wAfter w:w="12" w:type="dxa"/>
          <w:trHeight w:val="915"/>
        </w:trPr>
        <w:tc>
          <w:tcPr>
            <w:tcW w:w="1838" w:type="dxa"/>
            <w:shd w:val="clear" w:color="auto" w:fill="auto"/>
            <w:vAlign w:val="center"/>
            <w:hideMark/>
          </w:tcPr>
          <w:p w14:paraId="346E781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Dra. Fulvia Bajura</w:t>
            </w:r>
          </w:p>
        </w:tc>
        <w:tc>
          <w:tcPr>
            <w:tcW w:w="3119" w:type="dxa"/>
            <w:shd w:val="clear" w:color="auto" w:fill="auto"/>
            <w:vAlign w:val="bottom"/>
            <w:hideMark/>
          </w:tcPr>
          <w:p w14:paraId="0D023B90"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Asistente Técnica de la Direccion General de Salud Publica</w:t>
            </w:r>
          </w:p>
        </w:tc>
        <w:tc>
          <w:tcPr>
            <w:tcW w:w="1701" w:type="dxa"/>
            <w:vMerge w:val="restart"/>
            <w:shd w:val="clear" w:color="auto" w:fill="auto"/>
            <w:vAlign w:val="center"/>
            <w:hideMark/>
          </w:tcPr>
          <w:p w14:paraId="29B3CD0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Colombia, Medellín</w:t>
            </w:r>
          </w:p>
        </w:tc>
        <w:tc>
          <w:tcPr>
            <w:tcW w:w="2976" w:type="dxa"/>
            <w:vMerge w:val="restart"/>
            <w:shd w:val="clear" w:color="auto" w:fill="auto"/>
            <w:vAlign w:val="center"/>
            <w:hideMark/>
          </w:tcPr>
          <w:p w14:paraId="71CDEEA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Conferencia de la Red Panamericana de Investigación sobre el Dengue (</w:t>
            </w:r>
            <w:proofErr w:type="spellStart"/>
            <w:r w:rsidRPr="00952A7B">
              <w:rPr>
                <w:rFonts w:ascii="Arial" w:eastAsia="Times New Roman" w:hAnsi="Arial" w:cs="Arial"/>
                <w:color w:val="000000"/>
                <w:kern w:val="0"/>
                <w:lang w:eastAsia="es-PA"/>
                <w14:ligatures w14:val="none"/>
              </w:rPr>
              <w:t>PanDengue</w:t>
            </w:r>
            <w:proofErr w:type="spellEnd"/>
            <w:r w:rsidRPr="00952A7B">
              <w:rPr>
                <w:rFonts w:ascii="Arial" w:eastAsia="Times New Roman" w:hAnsi="Arial" w:cs="Arial"/>
                <w:color w:val="000000"/>
                <w:kern w:val="0"/>
                <w:lang w:eastAsia="es-PA"/>
                <w14:ligatures w14:val="none"/>
              </w:rPr>
              <w:t>)</w:t>
            </w:r>
          </w:p>
        </w:tc>
        <w:tc>
          <w:tcPr>
            <w:tcW w:w="1175" w:type="dxa"/>
            <w:vMerge w:val="restart"/>
            <w:shd w:val="clear" w:color="auto" w:fill="auto"/>
            <w:vAlign w:val="center"/>
            <w:hideMark/>
          </w:tcPr>
          <w:p w14:paraId="04490D0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20 de abril de 2025</w:t>
            </w:r>
          </w:p>
        </w:tc>
        <w:tc>
          <w:tcPr>
            <w:tcW w:w="2019" w:type="dxa"/>
            <w:vMerge w:val="restart"/>
            <w:shd w:val="clear" w:color="auto" w:fill="auto"/>
            <w:vAlign w:val="center"/>
            <w:hideMark/>
          </w:tcPr>
          <w:p w14:paraId="0184A9EC"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25 de abril de 2025</w:t>
            </w:r>
          </w:p>
        </w:tc>
        <w:tc>
          <w:tcPr>
            <w:tcW w:w="1688" w:type="dxa"/>
            <w:vMerge w:val="restart"/>
            <w:shd w:val="clear" w:color="auto" w:fill="auto"/>
            <w:vAlign w:val="center"/>
            <w:hideMark/>
          </w:tcPr>
          <w:p w14:paraId="59776BF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B/.1,085.97</w:t>
            </w:r>
          </w:p>
        </w:tc>
        <w:tc>
          <w:tcPr>
            <w:tcW w:w="1688" w:type="dxa"/>
            <w:shd w:val="clear" w:color="auto" w:fill="auto"/>
            <w:noWrap/>
            <w:vAlign w:val="center"/>
            <w:hideMark/>
          </w:tcPr>
          <w:p w14:paraId="5574F90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B/.1,500.00</w:t>
            </w:r>
          </w:p>
        </w:tc>
        <w:tc>
          <w:tcPr>
            <w:tcW w:w="1550" w:type="dxa"/>
            <w:shd w:val="clear" w:color="auto" w:fill="auto"/>
            <w:noWrap/>
            <w:vAlign w:val="center"/>
            <w:hideMark/>
          </w:tcPr>
          <w:p w14:paraId="03819BB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B/.500.00</w:t>
            </w:r>
          </w:p>
        </w:tc>
        <w:tc>
          <w:tcPr>
            <w:tcW w:w="944" w:type="dxa"/>
            <w:shd w:val="clear" w:color="auto" w:fill="auto"/>
            <w:noWrap/>
            <w:vAlign w:val="center"/>
            <w:hideMark/>
          </w:tcPr>
          <w:p w14:paraId="1E3F9B1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36246E32" w14:textId="77777777" w:rsidTr="00992A33">
        <w:trPr>
          <w:gridAfter w:val="1"/>
          <w:wAfter w:w="12" w:type="dxa"/>
          <w:trHeight w:val="915"/>
        </w:trPr>
        <w:tc>
          <w:tcPr>
            <w:tcW w:w="1838" w:type="dxa"/>
            <w:shd w:val="clear" w:color="auto" w:fill="auto"/>
            <w:vAlign w:val="center"/>
            <w:hideMark/>
          </w:tcPr>
          <w:p w14:paraId="345A2DD7"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Dra. Lizbeth Cerezo</w:t>
            </w:r>
          </w:p>
        </w:tc>
        <w:tc>
          <w:tcPr>
            <w:tcW w:w="3119" w:type="dxa"/>
            <w:shd w:val="clear" w:color="auto" w:fill="auto"/>
            <w:vAlign w:val="bottom"/>
            <w:hideMark/>
          </w:tcPr>
          <w:p w14:paraId="029D55D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Técnica en el Depto. De Epidemiologia</w:t>
            </w:r>
          </w:p>
        </w:tc>
        <w:tc>
          <w:tcPr>
            <w:tcW w:w="1701" w:type="dxa"/>
            <w:vMerge/>
            <w:vAlign w:val="center"/>
            <w:hideMark/>
          </w:tcPr>
          <w:p w14:paraId="68F1FC0E"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265F89B8"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3A332026"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56653682"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03E8F7D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noWrap/>
            <w:vAlign w:val="center"/>
            <w:hideMark/>
          </w:tcPr>
          <w:p w14:paraId="1B799C93"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B/.1,500.00</w:t>
            </w:r>
          </w:p>
        </w:tc>
        <w:tc>
          <w:tcPr>
            <w:tcW w:w="1550" w:type="dxa"/>
            <w:shd w:val="clear" w:color="auto" w:fill="auto"/>
            <w:noWrap/>
            <w:vAlign w:val="center"/>
            <w:hideMark/>
          </w:tcPr>
          <w:p w14:paraId="23786B3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B/.500.00</w:t>
            </w:r>
          </w:p>
        </w:tc>
        <w:tc>
          <w:tcPr>
            <w:tcW w:w="944" w:type="dxa"/>
            <w:shd w:val="clear" w:color="auto" w:fill="auto"/>
            <w:noWrap/>
            <w:vAlign w:val="center"/>
            <w:hideMark/>
          </w:tcPr>
          <w:p w14:paraId="5DB64FE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410C3465" w14:textId="77777777" w:rsidTr="00992A33">
        <w:trPr>
          <w:gridAfter w:val="1"/>
          <w:wAfter w:w="12" w:type="dxa"/>
          <w:trHeight w:val="915"/>
        </w:trPr>
        <w:tc>
          <w:tcPr>
            <w:tcW w:w="1838" w:type="dxa"/>
            <w:shd w:val="clear" w:color="auto" w:fill="auto"/>
            <w:vAlign w:val="center"/>
            <w:hideMark/>
          </w:tcPr>
          <w:p w14:paraId="2EA431C2"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Dra. Lourdes Moreno</w:t>
            </w:r>
          </w:p>
        </w:tc>
        <w:tc>
          <w:tcPr>
            <w:tcW w:w="3119" w:type="dxa"/>
            <w:shd w:val="clear" w:color="auto" w:fill="auto"/>
            <w:vAlign w:val="bottom"/>
            <w:hideMark/>
          </w:tcPr>
          <w:p w14:paraId="6C159EC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Técnica en el Depto. De Epidemiologia</w:t>
            </w:r>
          </w:p>
        </w:tc>
        <w:tc>
          <w:tcPr>
            <w:tcW w:w="1701" w:type="dxa"/>
            <w:vMerge/>
            <w:vAlign w:val="center"/>
            <w:hideMark/>
          </w:tcPr>
          <w:p w14:paraId="147997E2"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976" w:type="dxa"/>
            <w:vMerge/>
            <w:vAlign w:val="center"/>
            <w:hideMark/>
          </w:tcPr>
          <w:p w14:paraId="17C46D2E"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175" w:type="dxa"/>
            <w:vMerge/>
            <w:vAlign w:val="center"/>
            <w:hideMark/>
          </w:tcPr>
          <w:p w14:paraId="659D3A67"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2019" w:type="dxa"/>
            <w:vMerge/>
            <w:vAlign w:val="center"/>
            <w:hideMark/>
          </w:tcPr>
          <w:p w14:paraId="5BD66033"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vMerge/>
            <w:vAlign w:val="center"/>
            <w:hideMark/>
          </w:tcPr>
          <w:p w14:paraId="4A357C1D" w14:textId="77777777" w:rsidR="00952A7B" w:rsidRPr="00952A7B" w:rsidRDefault="00952A7B" w:rsidP="00952A7B">
            <w:pPr>
              <w:spacing w:after="0" w:line="240" w:lineRule="auto"/>
              <w:rPr>
                <w:rFonts w:ascii="Arial" w:eastAsia="Times New Roman" w:hAnsi="Arial" w:cs="Arial"/>
                <w:color w:val="000000"/>
                <w:kern w:val="0"/>
                <w:lang w:eastAsia="es-PA"/>
                <w14:ligatures w14:val="none"/>
              </w:rPr>
            </w:pPr>
          </w:p>
        </w:tc>
        <w:tc>
          <w:tcPr>
            <w:tcW w:w="1688" w:type="dxa"/>
            <w:shd w:val="clear" w:color="auto" w:fill="auto"/>
            <w:noWrap/>
            <w:vAlign w:val="center"/>
            <w:hideMark/>
          </w:tcPr>
          <w:p w14:paraId="00E73A7B"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B/.1,500.00</w:t>
            </w:r>
          </w:p>
        </w:tc>
        <w:tc>
          <w:tcPr>
            <w:tcW w:w="1550" w:type="dxa"/>
            <w:shd w:val="clear" w:color="auto" w:fill="auto"/>
            <w:noWrap/>
            <w:vAlign w:val="center"/>
            <w:hideMark/>
          </w:tcPr>
          <w:p w14:paraId="41BB4146"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B/.500.00</w:t>
            </w:r>
          </w:p>
        </w:tc>
        <w:tc>
          <w:tcPr>
            <w:tcW w:w="944" w:type="dxa"/>
            <w:shd w:val="clear" w:color="auto" w:fill="auto"/>
            <w:noWrap/>
            <w:vAlign w:val="center"/>
            <w:hideMark/>
          </w:tcPr>
          <w:p w14:paraId="47C3E3EF"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SI</w:t>
            </w:r>
          </w:p>
        </w:tc>
      </w:tr>
      <w:tr w:rsidR="005205FC" w:rsidRPr="00952A7B" w14:paraId="7553F215" w14:textId="77777777" w:rsidTr="00992A33">
        <w:trPr>
          <w:gridAfter w:val="1"/>
          <w:wAfter w:w="12" w:type="dxa"/>
          <w:trHeight w:val="1185"/>
        </w:trPr>
        <w:tc>
          <w:tcPr>
            <w:tcW w:w="1838" w:type="dxa"/>
            <w:shd w:val="clear" w:color="auto" w:fill="auto"/>
            <w:vAlign w:val="center"/>
            <w:hideMark/>
          </w:tcPr>
          <w:p w14:paraId="0C42E81A"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Dra. Monica Roxana Atilia Parcha Flores</w:t>
            </w:r>
          </w:p>
        </w:tc>
        <w:tc>
          <w:tcPr>
            <w:tcW w:w="3119" w:type="dxa"/>
            <w:shd w:val="clear" w:color="auto" w:fill="auto"/>
            <w:vAlign w:val="center"/>
            <w:hideMark/>
          </w:tcPr>
          <w:p w14:paraId="7DCEE603" w14:textId="1CF98A4A"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proofErr w:type="spellStart"/>
            <w:r w:rsidRPr="00952A7B">
              <w:rPr>
                <w:rFonts w:ascii="Arial" w:eastAsia="Times New Roman" w:hAnsi="Arial" w:cs="Arial"/>
                <w:color w:val="000000"/>
                <w:kern w:val="0"/>
                <w:lang w:eastAsia="es-PA"/>
                <w14:ligatures w14:val="none"/>
              </w:rPr>
              <w:t>Infectóloga</w:t>
            </w:r>
            <w:proofErr w:type="spellEnd"/>
            <w:r w:rsidRPr="00952A7B">
              <w:rPr>
                <w:rFonts w:ascii="Arial" w:eastAsia="Times New Roman" w:hAnsi="Arial" w:cs="Arial"/>
                <w:color w:val="000000"/>
                <w:kern w:val="0"/>
                <w:lang w:eastAsia="es-PA"/>
                <w14:ligatures w14:val="none"/>
              </w:rPr>
              <w:t xml:space="preserve"> del Hospital del Niño</w:t>
            </w:r>
          </w:p>
        </w:tc>
        <w:tc>
          <w:tcPr>
            <w:tcW w:w="1701" w:type="dxa"/>
            <w:shd w:val="clear" w:color="auto" w:fill="auto"/>
            <w:vAlign w:val="center"/>
            <w:hideMark/>
          </w:tcPr>
          <w:p w14:paraId="055B069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Costa Rica, San José</w:t>
            </w:r>
          </w:p>
        </w:tc>
        <w:tc>
          <w:tcPr>
            <w:tcW w:w="2976" w:type="dxa"/>
            <w:shd w:val="clear" w:color="auto" w:fill="auto"/>
            <w:vAlign w:val="center"/>
            <w:hideMark/>
          </w:tcPr>
          <w:p w14:paraId="101982E4"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xml:space="preserve">Reunión Regional de Redes Nacionales de Expertos Clínicos en enfermedades </w:t>
            </w:r>
            <w:proofErr w:type="spellStart"/>
            <w:r w:rsidRPr="00952A7B">
              <w:rPr>
                <w:rFonts w:ascii="Arial" w:eastAsia="Times New Roman" w:hAnsi="Arial" w:cs="Arial"/>
                <w:color w:val="000000"/>
                <w:kern w:val="0"/>
                <w:lang w:eastAsia="es-PA"/>
                <w14:ligatures w14:val="none"/>
              </w:rPr>
              <w:t>arbovirales</w:t>
            </w:r>
            <w:proofErr w:type="spellEnd"/>
          </w:p>
        </w:tc>
        <w:tc>
          <w:tcPr>
            <w:tcW w:w="1175" w:type="dxa"/>
            <w:shd w:val="clear" w:color="auto" w:fill="auto"/>
            <w:vAlign w:val="center"/>
            <w:hideMark/>
          </w:tcPr>
          <w:p w14:paraId="3DBF0DBD"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21 de abril de 2025</w:t>
            </w:r>
          </w:p>
        </w:tc>
        <w:tc>
          <w:tcPr>
            <w:tcW w:w="2019" w:type="dxa"/>
            <w:shd w:val="clear" w:color="auto" w:fill="auto"/>
            <w:vAlign w:val="center"/>
            <w:hideMark/>
          </w:tcPr>
          <w:p w14:paraId="657EEC3E"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25 de abril de 2025</w:t>
            </w:r>
          </w:p>
        </w:tc>
        <w:tc>
          <w:tcPr>
            <w:tcW w:w="1688" w:type="dxa"/>
            <w:shd w:val="clear" w:color="auto" w:fill="auto"/>
            <w:vAlign w:val="center"/>
            <w:hideMark/>
          </w:tcPr>
          <w:p w14:paraId="5139E58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Organización Panamericana de la Salud</w:t>
            </w:r>
          </w:p>
        </w:tc>
        <w:tc>
          <w:tcPr>
            <w:tcW w:w="1688" w:type="dxa"/>
            <w:shd w:val="clear" w:color="auto" w:fill="auto"/>
            <w:vAlign w:val="center"/>
            <w:hideMark/>
          </w:tcPr>
          <w:p w14:paraId="3527788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Organización Panamericana de la Salud</w:t>
            </w:r>
          </w:p>
        </w:tc>
        <w:tc>
          <w:tcPr>
            <w:tcW w:w="1550" w:type="dxa"/>
            <w:shd w:val="clear" w:color="auto" w:fill="auto"/>
            <w:vAlign w:val="center"/>
            <w:hideMark/>
          </w:tcPr>
          <w:p w14:paraId="4647E959"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c>
          <w:tcPr>
            <w:tcW w:w="944" w:type="dxa"/>
            <w:shd w:val="clear" w:color="auto" w:fill="auto"/>
            <w:noWrap/>
            <w:vAlign w:val="center"/>
            <w:hideMark/>
          </w:tcPr>
          <w:p w14:paraId="4FCFE368" w14:textId="77777777" w:rsidR="00952A7B" w:rsidRPr="00952A7B" w:rsidRDefault="00952A7B" w:rsidP="00952A7B">
            <w:pPr>
              <w:spacing w:after="0" w:line="240" w:lineRule="auto"/>
              <w:jc w:val="center"/>
              <w:rPr>
                <w:rFonts w:ascii="Arial" w:eastAsia="Times New Roman" w:hAnsi="Arial" w:cs="Arial"/>
                <w:color w:val="000000"/>
                <w:kern w:val="0"/>
                <w:lang w:eastAsia="es-PA"/>
                <w14:ligatures w14:val="none"/>
              </w:rPr>
            </w:pPr>
            <w:r w:rsidRPr="00952A7B">
              <w:rPr>
                <w:rFonts w:ascii="Arial" w:eastAsia="Times New Roman" w:hAnsi="Arial" w:cs="Arial"/>
                <w:color w:val="000000"/>
                <w:kern w:val="0"/>
                <w:lang w:eastAsia="es-PA"/>
                <w14:ligatures w14:val="none"/>
              </w:rPr>
              <w:t> </w:t>
            </w:r>
          </w:p>
        </w:tc>
      </w:tr>
    </w:tbl>
    <w:p w14:paraId="1D3C1E38" w14:textId="77777777" w:rsidR="00952A7B" w:rsidRDefault="00952A7B"/>
    <w:sectPr w:rsidR="00952A7B" w:rsidSect="00952A7B">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7B"/>
    <w:rsid w:val="0016172E"/>
    <w:rsid w:val="005205FC"/>
    <w:rsid w:val="00844995"/>
    <w:rsid w:val="00952A7B"/>
    <w:rsid w:val="00992A33"/>
    <w:rsid w:val="00B170E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721F"/>
  <w15:chartTrackingRefBased/>
  <w15:docId w15:val="{0761F53F-116A-49DD-B5CD-331938F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2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2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2A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2A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2A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2A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2A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2A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2A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2A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2A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2A7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2A7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2A7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2A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2A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2A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2A7B"/>
    <w:rPr>
      <w:rFonts w:eastAsiaTheme="majorEastAsia" w:cstheme="majorBidi"/>
      <w:color w:val="272727" w:themeColor="text1" w:themeTint="D8"/>
    </w:rPr>
  </w:style>
  <w:style w:type="paragraph" w:styleId="Ttulo">
    <w:name w:val="Title"/>
    <w:basedOn w:val="Normal"/>
    <w:next w:val="Normal"/>
    <w:link w:val="TtuloCar"/>
    <w:uiPriority w:val="10"/>
    <w:qFormat/>
    <w:rsid w:val="00952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2A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2A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2A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2A7B"/>
    <w:pPr>
      <w:spacing w:before="160"/>
      <w:jc w:val="center"/>
    </w:pPr>
    <w:rPr>
      <w:i/>
      <w:iCs/>
      <w:color w:val="404040" w:themeColor="text1" w:themeTint="BF"/>
    </w:rPr>
  </w:style>
  <w:style w:type="character" w:customStyle="1" w:styleId="CitaCar">
    <w:name w:val="Cita Car"/>
    <w:basedOn w:val="Fuentedeprrafopredeter"/>
    <w:link w:val="Cita"/>
    <w:uiPriority w:val="29"/>
    <w:rsid w:val="00952A7B"/>
    <w:rPr>
      <w:i/>
      <w:iCs/>
      <w:color w:val="404040" w:themeColor="text1" w:themeTint="BF"/>
    </w:rPr>
  </w:style>
  <w:style w:type="paragraph" w:styleId="Prrafodelista">
    <w:name w:val="List Paragraph"/>
    <w:basedOn w:val="Normal"/>
    <w:uiPriority w:val="34"/>
    <w:qFormat/>
    <w:rsid w:val="00952A7B"/>
    <w:pPr>
      <w:ind w:left="720"/>
      <w:contextualSpacing/>
    </w:pPr>
  </w:style>
  <w:style w:type="character" w:styleId="nfasisintenso">
    <w:name w:val="Intense Emphasis"/>
    <w:basedOn w:val="Fuentedeprrafopredeter"/>
    <w:uiPriority w:val="21"/>
    <w:qFormat/>
    <w:rsid w:val="00952A7B"/>
    <w:rPr>
      <w:i/>
      <w:iCs/>
      <w:color w:val="0F4761" w:themeColor="accent1" w:themeShade="BF"/>
    </w:rPr>
  </w:style>
  <w:style w:type="paragraph" w:styleId="Citadestacada">
    <w:name w:val="Intense Quote"/>
    <w:basedOn w:val="Normal"/>
    <w:next w:val="Normal"/>
    <w:link w:val="CitadestacadaCar"/>
    <w:uiPriority w:val="30"/>
    <w:qFormat/>
    <w:rsid w:val="00952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2A7B"/>
    <w:rPr>
      <w:i/>
      <w:iCs/>
      <w:color w:val="0F4761" w:themeColor="accent1" w:themeShade="BF"/>
    </w:rPr>
  </w:style>
  <w:style w:type="character" w:styleId="Referenciaintensa">
    <w:name w:val="Intense Reference"/>
    <w:basedOn w:val="Fuentedeprrafopredeter"/>
    <w:uiPriority w:val="32"/>
    <w:qFormat/>
    <w:rsid w:val="00952A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3232">
      <w:bodyDiv w:val="1"/>
      <w:marLeft w:val="0"/>
      <w:marRight w:val="0"/>
      <w:marTop w:val="0"/>
      <w:marBottom w:val="0"/>
      <w:divBdr>
        <w:top w:val="none" w:sz="0" w:space="0" w:color="auto"/>
        <w:left w:val="none" w:sz="0" w:space="0" w:color="auto"/>
        <w:bottom w:val="none" w:sz="0" w:space="0" w:color="auto"/>
        <w:right w:val="none" w:sz="0" w:space="0" w:color="auto"/>
      </w:divBdr>
    </w:div>
    <w:div w:id="133528238">
      <w:bodyDiv w:val="1"/>
      <w:marLeft w:val="0"/>
      <w:marRight w:val="0"/>
      <w:marTop w:val="0"/>
      <w:marBottom w:val="0"/>
      <w:divBdr>
        <w:top w:val="none" w:sz="0" w:space="0" w:color="auto"/>
        <w:left w:val="none" w:sz="0" w:space="0" w:color="auto"/>
        <w:bottom w:val="none" w:sz="0" w:space="0" w:color="auto"/>
        <w:right w:val="none" w:sz="0" w:space="0" w:color="auto"/>
      </w:divBdr>
    </w:div>
    <w:div w:id="19761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Lelis Moreno</dc:creator>
  <cp:keywords/>
  <dc:description/>
  <cp:lastModifiedBy>Lelis Moreno</cp:lastModifiedBy>
  <cp:revision>3</cp:revision>
  <dcterms:created xsi:type="dcterms:W3CDTF">2025-06-23T19:23:00Z</dcterms:created>
  <dcterms:modified xsi:type="dcterms:W3CDTF">2025-06-23T19:44:00Z</dcterms:modified>
</cp:coreProperties>
</file>